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First call notes, Parcelbee, 2 September 2026</w:t>
      </w:r>
    </w:p>
    <w:p>
      <w:pPr>
        <w:pStyle w:val="Normal"/>
      </w:pPr>
      <w:r>
        <w:t xml:space="preserve">Associate: M. Chen. 40 minutes with Ife Adeyemi (CEO).</w:t>
      </w:r>
    </w:p>
    <w:p>
      <w:pPr>
        <w:pStyle w:val="Heading2"/>
      </w:pPr>
      <w:r>
        <w:t xml:space="preserve">Revenue</w:t>
      </w:r>
    </w:p>
    <w:p>
      <w:pPr>
        <w:pStyle w:val="Normal"/>
      </w:pPr>
      <w:r>
        <w:t xml:space="preserve">£42k monthly revenue confirmed. Ife said about £9k of that is pass-through postage billed to merchants at cost, so net revenue is closer to £33k.</w:t>
      </w:r>
    </w:p>
    <w:p>
      <w:pPr>
        <w:pStyle w:val="Heading2"/>
      </w:pPr>
      <w:r>
        <w:t xml:space="preserve">Partnerships</w:t>
      </w:r>
    </w:p>
    <w:p>
      <w:pPr>
        <w:pStyle w:val="Normal"/>
      </w:pPr>
      <w:r>
        <w:t xml:space="preserve">Royal Mail and Evri are carrier accounts with negotiated rates, not partnerships; there is no exclusivity or co-marketing.</w:t>
      </w:r>
    </w:p>
    <w:p>
      <w:pPr>
        <w:pStyle w:val="Heading2"/>
      </w:pPr>
      <w:r>
        <w:t xml:space="preserve">Hub</w:t>
      </w:r>
    </w:p>
    <w:p>
      <w:pPr>
        <w:pStyle w:val="Normal"/>
      </w:pPr>
      <w:r>
        <w:t xml:space="preserve">The Leicester hub runs at roughly 60% utilisation. The 55% gross margin target assumes a resale marketplace that does not exist yet.</w:t>
      </w:r>
    </w:p>
    <w:p>
      <w:pPr>
        <w:pStyle w:val="Heading2"/>
      </w:pPr>
      <w:r>
        <w:t xml:space="preserve">Round</w:t>
      </w:r>
    </w:p>
    <w:p>
      <w:pPr>
        <w:pStyle w:val="Normal"/>
      </w:pPr>
      <w:r>
        <w:t xml:space="preserve">£1.8M at £8M post. No lead. Two angels committed £200k.</w:t>
      </w:r>
    </w:p>
    <w:sectPr/>
  </w:body>
</w:document>
</file>